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4158"/>
        <w:gridCol w:w="3150"/>
        <w:gridCol w:w="3600"/>
      </w:tblGrid>
      <w:tr w:rsidR="00925E21" w14:paraId="326C3C25" w14:textId="77777777">
        <w:tc>
          <w:tcPr>
            <w:tcW w:w="7308"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8C7A385" w14:textId="77777777" w:rsidR="00925E21" w:rsidRDefault="00925E21" w:rsidP="004B227B">
            <w:pPr>
              <w:widowControl w:val="0"/>
              <w:autoSpaceDE w:val="0"/>
              <w:autoSpaceDN w:val="0"/>
              <w:adjustRightInd w:val="0"/>
              <w:rPr>
                <w:rFonts w:ascii="Times New Roman" w:hAnsi="Times New Roman" w:cs="Times New Roman"/>
              </w:rPr>
            </w:pPr>
            <w:r>
              <w:rPr>
                <w:rFonts w:ascii="Garamond" w:hAnsi="Garamond" w:cs="Garamond"/>
                <w:i/>
                <w:iCs/>
                <w:sz w:val="20"/>
                <w:szCs w:val="20"/>
              </w:rPr>
              <w:t xml:space="preserve">Name: </w:t>
            </w:r>
          </w:p>
        </w:tc>
        <w:tc>
          <w:tcPr>
            <w:tcW w:w="360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DD8D4E5" w14:textId="77777777" w:rsidR="00925E21" w:rsidRPr="00D40605" w:rsidRDefault="00925E21">
            <w:pPr>
              <w:widowControl w:val="0"/>
              <w:autoSpaceDE w:val="0"/>
              <w:autoSpaceDN w:val="0"/>
              <w:adjustRightInd w:val="0"/>
              <w:jc w:val="right"/>
              <w:rPr>
                <w:rFonts w:ascii="East Market Two NF" w:hAnsi="East Market Two NF" w:cs="Times New Roman"/>
              </w:rPr>
            </w:pPr>
            <w:r w:rsidRPr="00D40605">
              <w:rPr>
                <w:rFonts w:ascii="East Market Two NF" w:hAnsi="East Market Two NF" w:cs="Cash"/>
                <w:sz w:val="28"/>
                <w:szCs w:val="28"/>
              </w:rPr>
              <w:t>Handy Dandy Guide</w:t>
            </w:r>
          </w:p>
        </w:tc>
      </w:tr>
      <w:tr w:rsidR="00925E21" w14:paraId="6C9E84C3" w14:textId="77777777">
        <w:tblPrEx>
          <w:tblBorders>
            <w:top w:val="none" w:sz="0" w:space="0" w:color="auto"/>
          </w:tblBorders>
        </w:tblPrEx>
        <w:tc>
          <w:tcPr>
            <w:tcW w:w="10908" w:type="dxa"/>
            <w:gridSpan w:val="3"/>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D4C2118" w14:textId="77777777" w:rsidR="00925E21" w:rsidRDefault="00925E21" w:rsidP="004B227B">
            <w:pPr>
              <w:widowControl w:val="0"/>
              <w:autoSpaceDE w:val="0"/>
              <w:autoSpaceDN w:val="0"/>
              <w:adjustRightInd w:val="0"/>
              <w:rPr>
                <w:rFonts w:ascii="Times New Roman" w:hAnsi="Times New Roman" w:cs="Times New Roman"/>
              </w:rPr>
            </w:pPr>
            <w:r>
              <w:rPr>
                <w:rFonts w:ascii="Garamond" w:hAnsi="Garamond" w:cs="Garamond"/>
                <w:b/>
                <w:bCs/>
                <w:sz w:val="20"/>
                <w:szCs w:val="20"/>
              </w:rPr>
              <w:t xml:space="preserve">Enter the URL accurately: </w:t>
            </w:r>
          </w:p>
        </w:tc>
      </w:tr>
      <w:tr w:rsidR="004B227B" w14:paraId="65367E6D"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8580E2D" w14:textId="77777777" w:rsidR="004B227B" w:rsidRPr="004B227B" w:rsidRDefault="004B227B">
            <w:pPr>
              <w:widowControl w:val="0"/>
              <w:autoSpaceDE w:val="0"/>
              <w:autoSpaceDN w:val="0"/>
              <w:adjustRightInd w:val="0"/>
              <w:rPr>
                <w:rFonts w:ascii="Garamond" w:hAnsi="Garamond" w:cs="Garamond"/>
                <w:b/>
                <w:iCs/>
                <w:sz w:val="20"/>
                <w:szCs w:val="20"/>
              </w:rPr>
            </w:pPr>
            <w:r w:rsidRPr="004B227B">
              <w:rPr>
                <w:rFonts w:ascii="Garamond" w:hAnsi="Garamond" w:cs="Garamond"/>
                <w:b/>
                <w:iCs/>
                <w:sz w:val="20"/>
                <w:szCs w:val="20"/>
              </w:rPr>
              <w:t>A. Summary of Article</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248607" w14:textId="77777777" w:rsidR="004B227B" w:rsidRDefault="004B227B">
            <w:pPr>
              <w:widowControl w:val="0"/>
              <w:autoSpaceDE w:val="0"/>
              <w:autoSpaceDN w:val="0"/>
              <w:adjustRightInd w:val="0"/>
              <w:rPr>
                <w:rFonts w:ascii="Times New Roman" w:hAnsi="Times New Roman" w:cs="Times New Roman"/>
              </w:rPr>
            </w:pPr>
          </w:p>
        </w:tc>
      </w:tr>
      <w:tr w:rsidR="00925E21" w14:paraId="1298E61B"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9D0B2A"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1) People economize.</w:t>
            </w:r>
            <w:r>
              <w:rPr>
                <w:rFonts w:ascii="Garamond" w:hAnsi="Garamond" w:cs="Garamond"/>
                <w:sz w:val="20"/>
                <w:szCs w:val="20"/>
              </w:rPr>
              <w:t xml:space="preserve"> People choose the alternative which seems best to them because it involves the least cost and greatest benefit.</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C235DC" w14:textId="77777777" w:rsidR="00925E21" w:rsidRDefault="00925E21">
            <w:pPr>
              <w:widowControl w:val="0"/>
              <w:autoSpaceDE w:val="0"/>
              <w:autoSpaceDN w:val="0"/>
              <w:adjustRightInd w:val="0"/>
              <w:rPr>
                <w:rFonts w:ascii="Times New Roman" w:hAnsi="Times New Roman" w:cs="Times New Roman"/>
              </w:rPr>
            </w:pPr>
          </w:p>
        </w:tc>
      </w:tr>
      <w:tr w:rsidR="00925E21" w14:paraId="3A53B0DC"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C06198"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2) All choices involve cost.</w:t>
            </w:r>
            <w:r>
              <w:rPr>
                <w:rFonts w:ascii="Garamond" w:hAnsi="Garamond" w:cs="Garamond"/>
                <w:sz w:val="20"/>
                <w:szCs w:val="20"/>
              </w:rPr>
              <w:t xml:space="preserve"> Cost is the second best choice people give up when they make their best choice.</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6CCF27" w14:textId="77777777" w:rsidR="00925E21" w:rsidRDefault="00925E21">
            <w:pPr>
              <w:widowControl w:val="0"/>
              <w:autoSpaceDE w:val="0"/>
              <w:autoSpaceDN w:val="0"/>
              <w:adjustRightInd w:val="0"/>
              <w:rPr>
                <w:rFonts w:ascii="Times New Roman" w:hAnsi="Times New Roman" w:cs="Times New Roman"/>
              </w:rPr>
            </w:pPr>
          </w:p>
        </w:tc>
      </w:tr>
      <w:tr w:rsidR="00925E21" w14:paraId="65E63783"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7B4A969"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3) People respond to incentives.</w:t>
            </w:r>
            <w:r>
              <w:rPr>
                <w:rFonts w:ascii="Garamond" w:hAnsi="Garamond" w:cs="Garamond"/>
                <w:sz w:val="20"/>
                <w:szCs w:val="20"/>
              </w:rPr>
              <w:t xml:space="preserve">  Incentives are actions or rewards that encourage people to act.  When incentives change, people’s behavior changes in predictable ways.</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8D3F18B" w14:textId="77777777" w:rsidR="00925E21" w:rsidRDefault="00925E21">
            <w:pPr>
              <w:widowControl w:val="0"/>
              <w:autoSpaceDE w:val="0"/>
              <w:autoSpaceDN w:val="0"/>
              <w:adjustRightInd w:val="0"/>
              <w:rPr>
                <w:rFonts w:ascii="Times New Roman" w:hAnsi="Times New Roman" w:cs="Times New Roman"/>
              </w:rPr>
            </w:pPr>
          </w:p>
        </w:tc>
      </w:tr>
      <w:tr w:rsidR="00925E21" w14:paraId="79B599EF"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BEC8A82"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4) Economic systems influence individual choices and incentives.</w:t>
            </w:r>
            <w:r>
              <w:rPr>
                <w:rFonts w:ascii="Garamond" w:hAnsi="Garamond" w:cs="Garamond"/>
                <w:sz w:val="20"/>
                <w:szCs w:val="20"/>
              </w:rPr>
              <w:t xml:space="preserve">  How people cooperate is governed by written and unwritten rules.  As rules change, incentives change and behavior changes.</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C8A88F9" w14:textId="77777777" w:rsidR="00925E21" w:rsidRDefault="00925E21">
            <w:pPr>
              <w:widowControl w:val="0"/>
              <w:autoSpaceDE w:val="0"/>
              <w:autoSpaceDN w:val="0"/>
              <w:adjustRightInd w:val="0"/>
              <w:rPr>
                <w:rFonts w:ascii="Times New Roman" w:hAnsi="Times New Roman" w:cs="Times New Roman"/>
              </w:rPr>
            </w:pPr>
          </w:p>
        </w:tc>
      </w:tr>
      <w:tr w:rsidR="00925E21" w14:paraId="06106BC5" w14:textId="77777777" w:rsidTr="004B227B">
        <w:tblPrEx>
          <w:tblBorders>
            <w:top w:val="none" w:sz="0" w:space="0" w:color="auto"/>
          </w:tblBorders>
        </w:tblPrEx>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DF7217"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5) Voluntary trade creates wealth</w:t>
            </w:r>
            <w:r>
              <w:rPr>
                <w:rFonts w:ascii="Garamond" w:hAnsi="Garamond" w:cs="Garamond"/>
                <w:sz w:val="20"/>
                <w:szCs w:val="20"/>
              </w:rPr>
              <w:t>.  People can produce more in less time by concentrating on what they do best.  The surplus goods or services they produce can be traded to obtain other valuable goods or services.</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528B766" w14:textId="77777777" w:rsidR="00925E21" w:rsidRDefault="00925E21">
            <w:pPr>
              <w:widowControl w:val="0"/>
              <w:autoSpaceDE w:val="0"/>
              <w:autoSpaceDN w:val="0"/>
              <w:adjustRightInd w:val="0"/>
              <w:rPr>
                <w:rFonts w:ascii="Times New Roman" w:hAnsi="Times New Roman" w:cs="Times New Roman"/>
              </w:rPr>
            </w:pPr>
          </w:p>
        </w:tc>
      </w:tr>
      <w:tr w:rsidR="00925E21" w14:paraId="312CA16C" w14:textId="77777777" w:rsidTr="004B227B">
        <w:trPr>
          <w:trHeight w:val="1718"/>
        </w:trPr>
        <w:tc>
          <w:tcPr>
            <w:tcW w:w="415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032262" w14:textId="77777777" w:rsidR="00925E21" w:rsidRDefault="00925E21">
            <w:pPr>
              <w:widowControl w:val="0"/>
              <w:autoSpaceDE w:val="0"/>
              <w:autoSpaceDN w:val="0"/>
              <w:adjustRightInd w:val="0"/>
              <w:rPr>
                <w:rFonts w:ascii="Times New Roman" w:hAnsi="Times New Roman" w:cs="Times New Roman"/>
              </w:rPr>
            </w:pPr>
            <w:r>
              <w:rPr>
                <w:rFonts w:ascii="Garamond" w:hAnsi="Garamond" w:cs="Garamond"/>
                <w:i/>
                <w:iCs/>
                <w:sz w:val="20"/>
                <w:szCs w:val="20"/>
              </w:rPr>
              <w:t>6) The consequences of choices lie in the future.</w:t>
            </w:r>
            <w:r>
              <w:rPr>
                <w:rFonts w:ascii="Garamond" w:hAnsi="Garamond" w:cs="Garamond"/>
                <w:sz w:val="20"/>
                <w:szCs w:val="20"/>
              </w:rPr>
              <w:t xml:space="preserve">  The important costs and benefits in economic decision making are those which will appear in the future.  Economics stresses making decisions about the future because it is only the future that we can influence.  We cannot influence things that have happened in the past.</w:t>
            </w:r>
          </w:p>
        </w:tc>
        <w:tc>
          <w:tcPr>
            <w:tcW w:w="6750" w:type="dxa"/>
            <w:gridSpan w:val="2"/>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64ADDD1" w14:textId="77777777" w:rsidR="00925E21" w:rsidRDefault="00925E21">
            <w:pPr>
              <w:widowControl w:val="0"/>
              <w:autoSpaceDE w:val="0"/>
              <w:autoSpaceDN w:val="0"/>
              <w:adjustRightInd w:val="0"/>
              <w:rPr>
                <w:rFonts w:ascii="Times New Roman" w:hAnsi="Times New Roman" w:cs="Times New Roman"/>
              </w:rPr>
            </w:pPr>
          </w:p>
        </w:tc>
      </w:tr>
    </w:tbl>
    <w:p w14:paraId="183987E0" w14:textId="77777777" w:rsidR="00925E21" w:rsidRDefault="00925E21" w:rsidP="00925E21">
      <w:pPr>
        <w:widowControl w:val="0"/>
        <w:autoSpaceDE w:val="0"/>
        <w:autoSpaceDN w:val="0"/>
        <w:adjustRightInd w:val="0"/>
        <w:rPr>
          <w:rFonts w:ascii="Times New Roman" w:hAnsi="Times New Roman" w:cs="Times New Roman"/>
        </w:rPr>
      </w:pPr>
    </w:p>
    <w:p w14:paraId="721E5578" w14:textId="77777777" w:rsidR="004B227B" w:rsidRDefault="004B227B" w:rsidP="00925E21">
      <w:pPr>
        <w:widowControl w:val="0"/>
        <w:autoSpaceDE w:val="0"/>
        <w:autoSpaceDN w:val="0"/>
        <w:adjustRightInd w:val="0"/>
        <w:rPr>
          <w:rFonts w:ascii="Times New Roman" w:hAnsi="Times New Roman" w:cs="Times New Roman"/>
        </w:rPr>
      </w:pPr>
      <w:r>
        <w:rPr>
          <w:rFonts w:ascii="Times New Roman" w:hAnsi="Times New Roman" w:cs="Times New Roman"/>
        </w:rPr>
        <w:t>C</w:t>
      </w:r>
      <w:r w:rsidR="00925E21">
        <w:rPr>
          <w:rFonts w:ascii="Times New Roman" w:hAnsi="Times New Roman" w:cs="Times New Roman"/>
        </w:rPr>
        <w:t>. Personal Reaction</w:t>
      </w:r>
      <w:r>
        <w:rPr>
          <w:rFonts w:ascii="Times New Roman" w:hAnsi="Times New Roman" w:cs="Times New Roman"/>
        </w:rPr>
        <w:t>:</w:t>
      </w:r>
    </w:p>
    <w:p w14:paraId="10C1C62C" w14:textId="77777777" w:rsidR="004B227B" w:rsidRDefault="004B227B" w:rsidP="00925E21">
      <w:pPr>
        <w:widowControl w:val="0"/>
        <w:autoSpaceDE w:val="0"/>
        <w:autoSpaceDN w:val="0"/>
        <w:adjustRightInd w:val="0"/>
        <w:rPr>
          <w:rFonts w:ascii="Times New Roman" w:hAnsi="Times New Roman" w:cs="Times New Roman"/>
        </w:rPr>
      </w:pPr>
    </w:p>
    <w:p w14:paraId="74DC36E9" w14:textId="77777777" w:rsidR="004B227B" w:rsidRDefault="004B227B" w:rsidP="00925E21">
      <w:pPr>
        <w:widowControl w:val="0"/>
        <w:autoSpaceDE w:val="0"/>
        <w:autoSpaceDN w:val="0"/>
        <w:adjustRightInd w:val="0"/>
        <w:rPr>
          <w:rFonts w:ascii="Times New Roman" w:hAnsi="Times New Roman" w:cs="Times New Roman"/>
        </w:rPr>
      </w:pPr>
    </w:p>
    <w:p w14:paraId="3F3379F0" w14:textId="77777777" w:rsidR="004B227B" w:rsidRDefault="004B227B" w:rsidP="004B227B">
      <w:pPr>
        <w:rPr>
          <w:rFonts w:ascii="Times New Roman" w:hAnsi="Times New Roman" w:cs="Times New Roman"/>
        </w:rPr>
      </w:pPr>
    </w:p>
    <w:p w14:paraId="34D9B83E" w14:textId="77777777" w:rsidR="004B227B" w:rsidRDefault="004B227B" w:rsidP="004B227B">
      <w:pPr>
        <w:rPr>
          <w:rFonts w:ascii="Times New Roman" w:hAnsi="Times New Roman" w:cs="Times New Roman"/>
        </w:rPr>
      </w:pPr>
    </w:p>
    <w:p w14:paraId="1F7DE403" w14:textId="77777777" w:rsidR="004B227B" w:rsidRPr="00925E21" w:rsidRDefault="004B227B" w:rsidP="004B227B">
      <w:r>
        <w:rPr>
          <w:rFonts w:ascii="Times New Roman" w:hAnsi="Times New Roman" w:cs="Times New Roman"/>
        </w:rPr>
        <w:t>D.</w:t>
      </w:r>
      <w:r w:rsidR="00925E21">
        <w:rPr>
          <w:rFonts w:ascii="Times New Roman" w:hAnsi="Times New Roman" w:cs="Times New Roman"/>
        </w:rPr>
        <w:t xml:space="preserve"> </w:t>
      </w:r>
      <w:r>
        <w:rPr>
          <w:rFonts w:ascii="Times New Roman" w:hAnsi="Times New Roman" w:cs="Times New Roman"/>
        </w:rPr>
        <w:t xml:space="preserve">Citation: </w:t>
      </w:r>
    </w:p>
    <w:p w14:paraId="3BA1177D" w14:textId="77777777" w:rsidR="00925E21" w:rsidRDefault="00925E21" w:rsidP="00925E21">
      <w:pPr>
        <w:widowControl w:val="0"/>
        <w:autoSpaceDE w:val="0"/>
        <w:autoSpaceDN w:val="0"/>
        <w:adjustRightInd w:val="0"/>
        <w:rPr>
          <w:rFonts w:ascii="Times New Roman" w:hAnsi="Times New Roman" w:cs="Times New Roman"/>
        </w:rPr>
      </w:pPr>
    </w:p>
    <w:p w14:paraId="2E0EEC6E" w14:textId="77777777" w:rsidR="004B227B" w:rsidRDefault="004B227B"/>
    <w:p w14:paraId="0D90FF85" w14:textId="77777777" w:rsidR="004B227B" w:rsidRDefault="004B227B"/>
    <w:p w14:paraId="0EA756B4" w14:textId="77777777" w:rsidR="004B227B" w:rsidRDefault="004B227B"/>
    <w:p w14:paraId="44B5F282" w14:textId="77777777" w:rsidR="004B227B" w:rsidRDefault="004B227B"/>
    <w:p w14:paraId="13254B22" w14:textId="77777777" w:rsidR="004B227B" w:rsidRDefault="004B227B"/>
    <w:p w14:paraId="18C00C07" w14:textId="77777777" w:rsidR="004B227B" w:rsidRDefault="004B227B"/>
    <w:p w14:paraId="1A9A369F" w14:textId="77777777" w:rsidR="004B227B" w:rsidRDefault="004B227B"/>
    <w:p w14:paraId="292E2F94" w14:textId="77777777" w:rsidR="004B227B" w:rsidRDefault="004B227B"/>
    <w:p w14:paraId="6BE414FC" w14:textId="77777777" w:rsidR="004B227B" w:rsidRDefault="004B227B"/>
    <w:p w14:paraId="2805E7AF" w14:textId="77777777" w:rsidR="004B227B" w:rsidRPr="00A955B6" w:rsidRDefault="004B227B">
      <w:pPr>
        <w:rPr>
          <w:b/>
          <w:i/>
          <w:u w:val="single"/>
        </w:rPr>
      </w:pPr>
      <w:r w:rsidRPr="00A955B6">
        <w:rPr>
          <w:b/>
          <w:i/>
          <w:u w:val="single"/>
        </w:rPr>
        <w:t>Check List:</w:t>
      </w:r>
    </w:p>
    <w:p w14:paraId="0595D9DA" w14:textId="77777777" w:rsidR="004B227B" w:rsidRDefault="004B227B">
      <w:r>
        <w:t>Before you submit your Analysis, did you:</w:t>
      </w:r>
    </w:p>
    <w:p w14:paraId="60D3394A" w14:textId="77777777" w:rsidR="00A955B6" w:rsidRDefault="00A955B6"/>
    <w:p w14:paraId="2249B575" w14:textId="77777777" w:rsidR="004B227B" w:rsidRDefault="004B227B" w:rsidP="004B227B">
      <w:pPr>
        <w:pStyle w:val="ListParagraph"/>
        <w:numPr>
          <w:ilvl w:val="0"/>
          <w:numId w:val="1"/>
        </w:numPr>
      </w:pPr>
      <w:proofErr w:type="gramStart"/>
      <w:r>
        <w:t>put</w:t>
      </w:r>
      <w:proofErr w:type="gramEnd"/>
      <w:r>
        <w:t xml:space="preserve"> your name on your paper?</w:t>
      </w:r>
    </w:p>
    <w:p w14:paraId="00C320BA" w14:textId="77777777" w:rsidR="004B227B" w:rsidRDefault="004B227B" w:rsidP="004B227B">
      <w:pPr>
        <w:pStyle w:val="ListParagraph"/>
        <w:numPr>
          <w:ilvl w:val="0"/>
          <w:numId w:val="1"/>
        </w:numPr>
      </w:pPr>
      <w:proofErr w:type="gramStart"/>
      <w:r>
        <w:t>enter</w:t>
      </w:r>
      <w:proofErr w:type="gramEnd"/>
      <w:r>
        <w:t xml:space="preserve"> the URL of your article completely and accurately?</w:t>
      </w:r>
    </w:p>
    <w:p w14:paraId="58CB1D2A" w14:textId="77777777" w:rsidR="004B227B" w:rsidRDefault="004B227B" w:rsidP="004B227B">
      <w:pPr>
        <w:pStyle w:val="ListParagraph"/>
        <w:numPr>
          <w:ilvl w:val="0"/>
          <w:numId w:val="1"/>
        </w:numPr>
      </w:pPr>
      <w:proofErr w:type="gramStart"/>
      <w:r>
        <w:t>include</w:t>
      </w:r>
      <w:proofErr w:type="gramEnd"/>
      <w:r>
        <w:t xml:space="preserve"> a summary of the article?</w:t>
      </w:r>
    </w:p>
    <w:p w14:paraId="032ACACD" w14:textId="77777777" w:rsidR="004B227B" w:rsidRDefault="004B227B" w:rsidP="004B227B">
      <w:pPr>
        <w:pStyle w:val="ListParagraph"/>
        <w:numPr>
          <w:ilvl w:val="0"/>
          <w:numId w:val="1"/>
        </w:numPr>
      </w:pPr>
      <w:proofErr w:type="gramStart"/>
      <w:r>
        <w:t>complete</w:t>
      </w:r>
      <w:proofErr w:type="gramEnd"/>
      <w:r>
        <w:t xml:space="preserve"> all 6 parts of the “Handy Dandy Guide?”</w:t>
      </w:r>
    </w:p>
    <w:p w14:paraId="1BB2C0B0" w14:textId="77777777" w:rsidR="004B227B" w:rsidRDefault="004B227B" w:rsidP="004B227B">
      <w:pPr>
        <w:pStyle w:val="ListParagraph"/>
        <w:numPr>
          <w:ilvl w:val="0"/>
          <w:numId w:val="1"/>
        </w:numPr>
      </w:pPr>
      <w:proofErr w:type="gramStart"/>
      <w:r>
        <w:t>give</w:t>
      </w:r>
      <w:proofErr w:type="gramEnd"/>
      <w:r>
        <w:t xml:space="preserve"> your personal reaction to the article?</w:t>
      </w:r>
    </w:p>
    <w:p w14:paraId="3396EBD8" w14:textId="77777777" w:rsidR="00B6000C" w:rsidRDefault="004B227B" w:rsidP="00B6000C">
      <w:pPr>
        <w:pStyle w:val="ListParagraph"/>
        <w:numPr>
          <w:ilvl w:val="0"/>
          <w:numId w:val="1"/>
        </w:numPr>
      </w:pPr>
      <w:proofErr w:type="gramStart"/>
      <w:r>
        <w:t>give</w:t>
      </w:r>
      <w:proofErr w:type="gramEnd"/>
      <w:r>
        <w:t xml:space="preserve"> the citation for your article?</w:t>
      </w:r>
    </w:p>
    <w:p w14:paraId="3FE28806" w14:textId="77777777" w:rsidR="00D40605" w:rsidRDefault="00D40605" w:rsidP="00B6000C">
      <w:pPr>
        <w:pStyle w:val="ListParagraph"/>
        <w:numPr>
          <w:ilvl w:val="0"/>
          <w:numId w:val="1"/>
        </w:numPr>
      </w:pPr>
      <w:r>
        <w:t>save the file with your name as part of the file name?</w:t>
      </w:r>
      <w:bookmarkStart w:id="0" w:name="_GoBack"/>
      <w:bookmarkEnd w:id="0"/>
    </w:p>
    <w:p w14:paraId="70891DC0" w14:textId="77777777" w:rsidR="004B227B" w:rsidRDefault="004B227B" w:rsidP="00B6000C">
      <w:r>
        <w:br w:type="page"/>
      </w:r>
      <w:proofErr w:type="gramStart"/>
      <w:r w:rsidR="00B6000C">
        <w:t>for</w:t>
      </w:r>
      <w:proofErr w:type="gramEnd"/>
      <w:r w:rsidR="00B6000C">
        <w:t xml:space="preserve"> teacher use only:</w:t>
      </w:r>
    </w:p>
    <w:p w14:paraId="57474B34" w14:textId="77777777" w:rsidR="00A955B6" w:rsidRDefault="00A955B6" w:rsidP="00A955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360"/>
        <w:gridCol w:w="600"/>
      </w:tblGrid>
      <w:tr w:rsidR="00925E21" w14:paraId="0CBB261F" w14:textId="77777777">
        <w:trPr>
          <w:trHeight w:val="343"/>
        </w:trPr>
        <w:tc>
          <w:tcPr>
            <w:tcW w:w="1448" w:type="dxa"/>
            <w:tcBorders>
              <w:bottom w:val="single" w:sz="12" w:space="0" w:color="auto"/>
            </w:tcBorders>
            <w:vAlign w:val="center"/>
          </w:tcPr>
          <w:p w14:paraId="651CFEDA" w14:textId="77777777" w:rsidR="00925E21" w:rsidRDefault="00925E21" w:rsidP="004B227B">
            <w:pPr>
              <w:rPr>
                <w:rFonts w:ascii="Tahoma" w:hAnsi="Tahoma" w:cs="Tahoma"/>
                <w:sz w:val="22"/>
                <w:szCs w:val="22"/>
              </w:rPr>
            </w:pPr>
            <w:r>
              <w:rPr>
                <w:rFonts w:ascii="Tahoma" w:hAnsi="Tahoma" w:cs="Tahoma"/>
                <w:sz w:val="22"/>
                <w:szCs w:val="22"/>
              </w:rPr>
              <w:t xml:space="preserve">Week # </w:t>
            </w:r>
          </w:p>
        </w:tc>
        <w:tc>
          <w:tcPr>
            <w:tcW w:w="1960" w:type="dxa"/>
            <w:gridSpan w:val="2"/>
            <w:tcBorders>
              <w:bottom w:val="single" w:sz="12" w:space="0" w:color="auto"/>
            </w:tcBorders>
            <w:vAlign w:val="center"/>
          </w:tcPr>
          <w:p w14:paraId="2469DFCB" w14:textId="77777777" w:rsidR="00925E21" w:rsidRDefault="00925E21" w:rsidP="004B227B">
            <w:pPr>
              <w:rPr>
                <w:rFonts w:ascii="Tahoma" w:hAnsi="Tahoma" w:cs="Tahoma"/>
                <w:sz w:val="22"/>
                <w:szCs w:val="22"/>
              </w:rPr>
            </w:pPr>
            <w:r>
              <w:rPr>
                <w:rFonts w:ascii="Tahoma" w:hAnsi="Tahoma" w:cs="Tahoma"/>
                <w:sz w:val="22"/>
                <w:szCs w:val="22"/>
              </w:rPr>
              <w:t xml:space="preserve">Date </w:t>
            </w:r>
          </w:p>
        </w:tc>
      </w:tr>
      <w:tr w:rsidR="00A955B6" w14:paraId="550CB942" w14:textId="77777777" w:rsidTr="00815F53">
        <w:trPr>
          <w:trHeight w:val="449"/>
        </w:trPr>
        <w:tc>
          <w:tcPr>
            <w:tcW w:w="2808" w:type="dxa"/>
            <w:gridSpan w:val="2"/>
            <w:tcBorders>
              <w:bottom w:val="single" w:sz="4" w:space="0" w:color="auto"/>
            </w:tcBorders>
            <w:vAlign w:val="center"/>
          </w:tcPr>
          <w:p w14:paraId="02B22FA8" w14:textId="77777777" w:rsidR="00A955B6" w:rsidRDefault="00A955B6" w:rsidP="00815F53">
            <w:pPr>
              <w:rPr>
                <w:rFonts w:ascii="Tahoma" w:hAnsi="Tahoma" w:cs="Tahoma"/>
                <w:sz w:val="22"/>
                <w:szCs w:val="22"/>
              </w:rPr>
            </w:pPr>
            <w:r>
              <w:rPr>
                <w:rFonts w:ascii="Tahoma" w:hAnsi="Tahoma" w:cs="Tahoma"/>
                <w:sz w:val="22"/>
                <w:szCs w:val="22"/>
              </w:rPr>
              <w:t>A. Summary (5)</w:t>
            </w:r>
          </w:p>
        </w:tc>
        <w:tc>
          <w:tcPr>
            <w:tcW w:w="600" w:type="dxa"/>
            <w:tcBorders>
              <w:bottom w:val="single" w:sz="4" w:space="0" w:color="auto"/>
            </w:tcBorders>
            <w:vAlign w:val="center"/>
          </w:tcPr>
          <w:p w14:paraId="08DB02F2" w14:textId="77777777" w:rsidR="00A955B6" w:rsidRDefault="00A955B6" w:rsidP="00815F53">
            <w:pPr>
              <w:rPr>
                <w:rFonts w:ascii="Tahoma" w:hAnsi="Tahoma" w:cs="Tahoma"/>
              </w:rPr>
            </w:pPr>
          </w:p>
        </w:tc>
      </w:tr>
      <w:tr w:rsidR="00925E21" w14:paraId="5A62D317" w14:textId="77777777">
        <w:trPr>
          <w:trHeight w:val="449"/>
        </w:trPr>
        <w:tc>
          <w:tcPr>
            <w:tcW w:w="2808" w:type="dxa"/>
            <w:gridSpan w:val="2"/>
            <w:tcBorders>
              <w:top w:val="single" w:sz="12" w:space="0" w:color="auto"/>
            </w:tcBorders>
            <w:vAlign w:val="center"/>
          </w:tcPr>
          <w:p w14:paraId="642C046A" w14:textId="77777777" w:rsidR="00925E21" w:rsidRDefault="00A955B6">
            <w:pPr>
              <w:rPr>
                <w:rFonts w:ascii="Tahoma" w:hAnsi="Tahoma" w:cs="Tahoma"/>
                <w:sz w:val="22"/>
                <w:szCs w:val="22"/>
              </w:rPr>
            </w:pPr>
            <w:r>
              <w:rPr>
                <w:rFonts w:ascii="Tahoma" w:hAnsi="Tahoma" w:cs="Tahoma"/>
                <w:sz w:val="22"/>
                <w:szCs w:val="22"/>
              </w:rPr>
              <w:t>B</w:t>
            </w:r>
            <w:r w:rsidR="00925E21">
              <w:rPr>
                <w:rFonts w:ascii="Tahoma" w:hAnsi="Tahoma" w:cs="Tahoma"/>
                <w:sz w:val="22"/>
                <w:szCs w:val="22"/>
              </w:rPr>
              <w:t>. HDG References (30)</w:t>
            </w:r>
          </w:p>
        </w:tc>
        <w:tc>
          <w:tcPr>
            <w:tcW w:w="600" w:type="dxa"/>
            <w:tcBorders>
              <w:top w:val="single" w:sz="12" w:space="0" w:color="auto"/>
            </w:tcBorders>
            <w:vAlign w:val="center"/>
          </w:tcPr>
          <w:p w14:paraId="07B23333" w14:textId="77777777" w:rsidR="00925E21" w:rsidRDefault="00925E21">
            <w:pPr>
              <w:rPr>
                <w:rFonts w:ascii="Tahoma" w:hAnsi="Tahoma" w:cs="Tahoma"/>
              </w:rPr>
            </w:pPr>
          </w:p>
        </w:tc>
      </w:tr>
      <w:tr w:rsidR="00925E21" w14:paraId="25C18E62" w14:textId="77777777">
        <w:trPr>
          <w:trHeight w:val="449"/>
        </w:trPr>
        <w:tc>
          <w:tcPr>
            <w:tcW w:w="2808" w:type="dxa"/>
            <w:gridSpan w:val="2"/>
            <w:vAlign w:val="center"/>
          </w:tcPr>
          <w:p w14:paraId="1C48EF9A" w14:textId="77777777" w:rsidR="00925E21" w:rsidRDefault="00925E21">
            <w:pPr>
              <w:rPr>
                <w:rFonts w:ascii="Garamond" w:hAnsi="Garamond" w:cs="Tahoma"/>
                <w:i/>
                <w:sz w:val="20"/>
                <w:szCs w:val="20"/>
              </w:rPr>
            </w:pPr>
            <w:r>
              <w:rPr>
                <w:rFonts w:ascii="Garamond" w:hAnsi="Garamond" w:cs="Tahoma"/>
                <w:i/>
                <w:sz w:val="20"/>
                <w:szCs w:val="20"/>
              </w:rPr>
              <w:t>1) People Economize</w:t>
            </w:r>
          </w:p>
        </w:tc>
        <w:tc>
          <w:tcPr>
            <w:tcW w:w="600" w:type="dxa"/>
            <w:vAlign w:val="center"/>
          </w:tcPr>
          <w:p w14:paraId="351C9D0B" w14:textId="77777777" w:rsidR="00925E21" w:rsidRDefault="00925E21">
            <w:pPr>
              <w:rPr>
                <w:rFonts w:ascii="Tahoma" w:hAnsi="Tahoma" w:cs="Tahoma"/>
              </w:rPr>
            </w:pPr>
          </w:p>
        </w:tc>
      </w:tr>
      <w:tr w:rsidR="00925E21" w14:paraId="0A4D46CA" w14:textId="77777777">
        <w:trPr>
          <w:trHeight w:val="449"/>
        </w:trPr>
        <w:tc>
          <w:tcPr>
            <w:tcW w:w="2808" w:type="dxa"/>
            <w:gridSpan w:val="2"/>
            <w:vAlign w:val="center"/>
          </w:tcPr>
          <w:p w14:paraId="0D8001D9" w14:textId="77777777" w:rsidR="00925E21" w:rsidRDefault="00925E21">
            <w:pPr>
              <w:rPr>
                <w:rFonts w:ascii="Garamond" w:hAnsi="Garamond" w:cs="Tahoma"/>
                <w:i/>
                <w:sz w:val="20"/>
                <w:szCs w:val="20"/>
              </w:rPr>
            </w:pPr>
            <w:r>
              <w:rPr>
                <w:rFonts w:ascii="Garamond" w:hAnsi="Garamond" w:cs="Tahoma"/>
                <w:i/>
                <w:sz w:val="20"/>
                <w:szCs w:val="20"/>
              </w:rPr>
              <w:t>2) Choices Involve Costs</w:t>
            </w:r>
          </w:p>
        </w:tc>
        <w:tc>
          <w:tcPr>
            <w:tcW w:w="600" w:type="dxa"/>
            <w:vAlign w:val="center"/>
          </w:tcPr>
          <w:p w14:paraId="02D396CF" w14:textId="77777777" w:rsidR="00925E21" w:rsidRDefault="00925E21">
            <w:pPr>
              <w:rPr>
                <w:rFonts w:ascii="Tahoma" w:hAnsi="Tahoma" w:cs="Tahoma"/>
              </w:rPr>
            </w:pPr>
          </w:p>
        </w:tc>
      </w:tr>
      <w:tr w:rsidR="00925E21" w14:paraId="5186ECDC" w14:textId="77777777">
        <w:trPr>
          <w:trHeight w:val="449"/>
        </w:trPr>
        <w:tc>
          <w:tcPr>
            <w:tcW w:w="2808" w:type="dxa"/>
            <w:gridSpan w:val="2"/>
            <w:vAlign w:val="center"/>
          </w:tcPr>
          <w:p w14:paraId="51A160B7" w14:textId="77777777" w:rsidR="00925E21" w:rsidRDefault="00925E21">
            <w:pPr>
              <w:rPr>
                <w:rFonts w:ascii="Garamond" w:hAnsi="Garamond"/>
                <w:sz w:val="20"/>
              </w:rPr>
            </w:pPr>
            <w:r>
              <w:rPr>
                <w:rFonts w:ascii="Garamond" w:hAnsi="Garamond"/>
                <w:i/>
                <w:iCs/>
                <w:sz w:val="20"/>
              </w:rPr>
              <w:t>3) People respond to incentives.</w:t>
            </w:r>
            <w:r>
              <w:rPr>
                <w:rFonts w:ascii="Garamond" w:hAnsi="Garamond"/>
                <w:sz w:val="20"/>
              </w:rPr>
              <w:t xml:space="preserve">  </w:t>
            </w:r>
          </w:p>
        </w:tc>
        <w:tc>
          <w:tcPr>
            <w:tcW w:w="600" w:type="dxa"/>
            <w:vAlign w:val="center"/>
          </w:tcPr>
          <w:p w14:paraId="37083931" w14:textId="77777777" w:rsidR="00925E21" w:rsidRDefault="00925E21">
            <w:pPr>
              <w:rPr>
                <w:rFonts w:ascii="Tahoma" w:hAnsi="Tahoma" w:cs="Tahoma"/>
              </w:rPr>
            </w:pPr>
          </w:p>
        </w:tc>
      </w:tr>
      <w:tr w:rsidR="00925E21" w14:paraId="2CE9DDA2" w14:textId="77777777">
        <w:trPr>
          <w:trHeight w:val="449"/>
        </w:trPr>
        <w:tc>
          <w:tcPr>
            <w:tcW w:w="2808" w:type="dxa"/>
            <w:gridSpan w:val="2"/>
            <w:vAlign w:val="center"/>
          </w:tcPr>
          <w:p w14:paraId="40398884" w14:textId="77777777" w:rsidR="00925E21" w:rsidRDefault="00925E21">
            <w:pPr>
              <w:rPr>
                <w:rFonts w:ascii="Garamond" w:hAnsi="Garamond"/>
                <w:sz w:val="20"/>
              </w:rPr>
            </w:pPr>
            <w:r>
              <w:rPr>
                <w:rFonts w:ascii="Garamond" w:hAnsi="Garamond"/>
                <w:i/>
                <w:iCs/>
                <w:sz w:val="20"/>
              </w:rPr>
              <w:t>4) Economic systems influence individual choices and incentives.</w:t>
            </w:r>
            <w:r>
              <w:rPr>
                <w:rFonts w:ascii="Garamond" w:hAnsi="Garamond"/>
                <w:sz w:val="20"/>
              </w:rPr>
              <w:t xml:space="preserve">  </w:t>
            </w:r>
          </w:p>
        </w:tc>
        <w:tc>
          <w:tcPr>
            <w:tcW w:w="600" w:type="dxa"/>
            <w:vAlign w:val="center"/>
          </w:tcPr>
          <w:p w14:paraId="7A370C90" w14:textId="77777777" w:rsidR="00925E21" w:rsidRDefault="00925E21">
            <w:pPr>
              <w:rPr>
                <w:rFonts w:ascii="Tahoma" w:hAnsi="Tahoma" w:cs="Tahoma"/>
              </w:rPr>
            </w:pPr>
          </w:p>
        </w:tc>
      </w:tr>
      <w:tr w:rsidR="00925E21" w14:paraId="169984FA" w14:textId="77777777" w:rsidTr="00A955B6">
        <w:trPr>
          <w:trHeight w:val="450"/>
        </w:trPr>
        <w:tc>
          <w:tcPr>
            <w:tcW w:w="2808" w:type="dxa"/>
            <w:gridSpan w:val="2"/>
            <w:tcBorders>
              <w:bottom w:val="single" w:sz="4" w:space="0" w:color="auto"/>
            </w:tcBorders>
            <w:vAlign w:val="center"/>
          </w:tcPr>
          <w:p w14:paraId="22E86A4B" w14:textId="77777777" w:rsidR="00925E21" w:rsidRDefault="00925E21">
            <w:pPr>
              <w:rPr>
                <w:rFonts w:ascii="Garamond" w:hAnsi="Garamond"/>
                <w:sz w:val="20"/>
              </w:rPr>
            </w:pPr>
            <w:r>
              <w:rPr>
                <w:rFonts w:ascii="Garamond" w:hAnsi="Garamond"/>
                <w:i/>
                <w:iCs/>
                <w:sz w:val="20"/>
              </w:rPr>
              <w:t>5) Voluntary trade creates wealth</w:t>
            </w:r>
            <w:r>
              <w:rPr>
                <w:rFonts w:ascii="Garamond" w:hAnsi="Garamond"/>
                <w:sz w:val="20"/>
              </w:rPr>
              <w:t xml:space="preserve">.  </w:t>
            </w:r>
          </w:p>
        </w:tc>
        <w:tc>
          <w:tcPr>
            <w:tcW w:w="600" w:type="dxa"/>
            <w:tcBorders>
              <w:bottom w:val="single" w:sz="4" w:space="0" w:color="auto"/>
            </w:tcBorders>
            <w:vAlign w:val="center"/>
          </w:tcPr>
          <w:p w14:paraId="49427BF0" w14:textId="77777777" w:rsidR="00925E21" w:rsidRDefault="00925E21">
            <w:pPr>
              <w:rPr>
                <w:rFonts w:ascii="Tahoma" w:hAnsi="Tahoma" w:cs="Tahoma"/>
              </w:rPr>
            </w:pPr>
          </w:p>
        </w:tc>
      </w:tr>
      <w:tr w:rsidR="00925E21" w14:paraId="66A3E11E" w14:textId="77777777" w:rsidTr="00A955B6">
        <w:trPr>
          <w:trHeight w:val="449"/>
        </w:trPr>
        <w:tc>
          <w:tcPr>
            <w:tcW w:w="2808" w:type="dxa"/>
            <w:gridSpan w:val="2"/>
            <w:tcBorders>
              <w:bottom w:val="single" w:sz="12" w:space="0" w:color="auto"/>
            </w:tcBorders>
            <w:vAlign w:val="center"/>
          </w:tcPr>
          <w:p w14:paraId="1A8F15AF" w14:textId="77777777" w:rsidR="00925E21" w:rsidRDefault="00925E21">
            <w:pPr>
              <w:rPr>
                <w:rFonts w:ascii="Garamond" w:hAnsi="Garamond"/>
                <w:sz w:val="20"/>
              </w:rPr>
            </w:pPr>
            <w:r>
              <w:rPr>
                <w:rFonts w:ascii="Garamond" w:hAnsi="Garamond"/>
                <w:i/>
                <w:iCs/>
                <w:sz w:val="20"/>
              </w:rPr>
              <w:t>6) The consequences of choices lie in the future.</w:t>
            </w:r>
            <w:r>
              <w:rPr>
                <w:rFonts w:ascii="Garamond" w:hAnsi="Garamond"/>
                <w:sz w:val="20"/>
              </w:rPr>
              <w:t xml:space="preserve">  </w:t>
            </w:r>
          </w:p>
        </w:tc>
        <w:tc>
          <w:tcPr>
            <w:tcW w:w="600" w:type="dxa"/>
            <w:tcBorders>
              <w:bottom w:val="single" w:sz="12" w:space="0" w:color="auto"/>
            </w:tcBorders>
            <w:vAlign w:val="center"/>
          </w:tcPr>
          <w:p w14:paraId="7E3F8A26" w14:textId="77777777" w:rsidR="00925E21" w:rsidRDefault="00925E21">
            <w:pPr>
              <w:rPr>
                <w:rFonts w:ascii="Tahoma" w:hAnsi="Tahoma" w:cs="Tahoma"/>
              </w:rPr>
            </w:pPr>
          </w:p>
        </w:tc>
      </w:tr>
      <w:tr w:rsidR="00925E21" w14:paraId="485F96E8" w14:textId="77777777" w:rsidTr="00A955B6">
        <w:trPr>
          <w:trHeight w:val="449"/>
        </w:trPr>
        <w:tc>
          <w:tcPr>
            <w:tcW w:w="2808" w:type="dxa"/>
            <w:gridSpan w:val="2"/>
            <w:tcBorders>
              <w:top w:val="single" w:sz="12" w:space="0" w:color="auto"/>
            </w:tcBorders>
            <w:vAlign w:val="center"/>
          </w:tcPr>
          <w:p w14:paraId="38002BEB" w14:textId="77777777" w:rsidR="00925E21" w:rsidRDefault="00A955B6">
            <w:pPr>
              <w:rPr>
                <w:rFonts w:ascii="Tahoma" w:hAnsi="Tahoma" w:cs="Tahoma"/>
                <w:sz w:val="22"/>
                <w:szCs w:val="22"/>
              </w:rPr>
            </w:pPr>
            <w:r>
              <w:rPr>
                <w:rFonts w:ascii="Tahoma" w:hAnsi="Tahoma" w:cs="Tahoma"/>
                <w:sz w:val="22"/>
                <w:szCs w:val="22"/>
              </w:rPr>
              <w:t>C</w:t>
            </w:r>
            <w:r w:rsidR="00925E21">
              <w:rPr>
                <w:rFonts w:ascii="Tahoma" w:hAnsi="Tahoma" w:cs="Tahoma"/>
                <w:sz w:val="22"/>
                <w:szCs w:val="22"/>
              </w:rPr>
              <w:t>. Personal Reaction (10)</w:t>
            </w:r>
          </w:p>
        </w:tc>
        <w:tc>
          <w:tcPr>
            <w:tcW w:w="600" w:type="dxa"/>
            <w:tcBorders>
              <w:top w:val="single" w:sz="12" w:space="0" w:color="auto"/>
            </w:tcBorders>
            <w:vAlign w:val="center"/>
          </w:tcPr>
          <w:p w14:paraId="79A19F0C" w14:textId="77777777" w:rsidR="00925E21" w:rsidRDefault="00925E21">
            <w:pPr>
              <w:rPr>
                <w:rFonts w:ascii="Tahoma" w:hAnsi="Tahoma" w:cs="Tahoma"/>
              </w:rPr>
            </w:pPr>
          </w:p>
        </w:tc>
      </w:tr>
      <w:tr w:rsidR="00925E21" w14:paraId="2D60A72D" w14:textId="77777777">
        <w:trPr>
          <w:trHeight w:val="449"/>
        </w:trPr>
        <w:tc>
          <w:tcPr>
            <w:tcW w:w="2808" w:type="dxa"/>
            <w:gridSpan w:val="2"/>
            <w:tcBorders>
              <w:bottom w:val="single" w:sz="12" w:space="0" w:color="auto"/>
            </w:tcBorders>
            <w:vAlign w:val="center"/>
          </w:tcPr>
          <w:p w14:paraId="162D0C63" w14:textId="77777777" w:rsidR="00925E21" w:rsidRDefault="00925E21">
            <w:pPr>
              <w:rPr>
                <w:rFonts w:ascii="Tahoma" w:hAnsi="Tahoma" w:cs="Tahoma"/>
                <w:sz w:val="22"/>
                <w:szCs w:val="22"/>
              </w:rPr>
            </w:pPr>
            <w:r>
              <w:rPr>
                <w:rFonts w:ascii="Tahoma" w:hAnsi="Tahoma" w:cs="Tahoma"/>
                <w:sz w:val="22"/>
                <w:szCs w:val="22"/>
              </w:rPr>
              <w:t>D. Citation (5)</w:t>
            </w:r>
          </w:p>
        </w:tc>
        <w:tc>
          <w:tcPr>
            <w:tcW w:w="600" w:type="dxa"/>
            <w:tcBorders>
              <w:bottom w:val="single" w:sz="12" w:space="0" w:color="auto"/>
            </w:tcBorders>
            <w:vAlign w:val="center"/>
          </w:tcPr>
          <w:p w14:paraId="5940FE17" w14:textId="77777777" w:rsidR="00925E21" w:rsidRDefault="00925E21">
            <w:pPr>
              <w:rPr>
                <w:rFonts w:ascii="Tahoma" w:hAnsi="Tahoma" w:cs="Tahoma"/>
              </w:rPr>
            </w:pPr>
          </w:p>
        </w:tc>
      </w:tr>
      <w:tr w:rsidR="00925E21" w14:paraId="1DF4DF6E" w14:textId="77777777">
        <w:trPr>
          <w:trHeight w:val="450"/>
        </w:trPr>
        <w:tc>
          <w:tcPr>
            <w:tcW w:w="2808" w:type="dxa"/>
            <w:gridSpan w:val="2"/>
            <w:tcBorders>
              <w:top w:val="single" w:sz="12" w:space="0" w:color="auto"/>
            </w:tcBorders>
            <w:vAlign w:val="center"/>
          </w:tcPr>
          <w:p w14:paraId="6FFA359F" w14:textId="77777777" w:rsidR="00925E21" w:rsidRDefault="00925E21">
            <w:pPr>
              <w:rPr>
                <w:rFonts w:ascii="Tahoma" w:hAnsi="Tahoma" w:cs="Tahoma"/>
              </w:rPr>
            </w:pPr>
            <w:r>
              <w:rPr>
                <w:rFonts w:ascii="Tahoma" w:hAnsi="Tahoma" w:cs="Tahoma"/>
              </w:rPr>
              <w:t>Total</w:t>
            </w:r>
          </w:p>
        </w:tc>
        <w:tc>
          <w:tcPr>
            <w:tcW w:w="600" w:type="dxa"/>
            <w:tcBorders>
              <w:top w:val="single" w:sz="12" w:space="0" w:color="auto"/>
            </w:tcBorders>
            <w:vAlign w:val="center"/>
          </w:tcPr>
          <w:p w14:paraId="6CE81184" w14:textId="77777777" w:rsidR="00925E21" w:rsidRDefault="00925E21">
            <w:pPr>
              <w:rPr>
                <w:rFonts w:ascii="Tahoma" w:hAnsi="Tahoma" w:cs="Tahoma"/>
              </w:rPr>
            </w:pPr>
          </w:p>
        </w:tc>
      </w:tr>
    </w:tbl>
    <w:p w14:paraId="562C36C8" w14:textId="77777777" w:rsidR="007430B6" w:rsidRDefault="007430B6" w:rsidP="00925E21"/>
    <w:sectPr w:rsidR="007430B6" w:rsidSect="00925E21">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East Market Two NF">
    <w:panose1 w:val="02060803080405020103"/>
    <w:charset w:val="00"/>
    <w:family w:val="auto"/>
    <w:pitch w:val="variable"/>
    <w:sig w:usb0="800000AF" w:usb1="0000004A" w:usb2="00000000" w:usb3="00000000" w:csb0="00000001" w:csb1="00000000"/>
  </w:font>
  <w:font w:name="Cash">
    <w:panose1 w:val="02000500000000000000"/>
    <w:charset w:val="00"/>
    <w:family w:val="auto"/>
    <w:pitch w:val="variable"/>
    <w:sig w:usb0="00000083" w:usb1="00000000" w:usb2="00000000" w:usb3="00000000" w:csb0="00000009"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64B03"/>
    <w:multiLevelType w:val="hybridMultilevel"/>
    <w:tmpl w:val="51906BD4"/>
    <w:lvl w:ilvl="0" w:tplc="FDBCCD1A">
      <w:start w:val="1"/>
      <w:numFmt w:val="bullet"/>
      <w:lvlText w:val=""/>
      <w:lvlJc w:val="left"/>
      <w:pPr>
        <w:ind w:left="720" w:hanging="360"/>
      </w:pPr>
      <w:rPr>
        <w:rFonts w:ascii="Webdings" w:hAnsi="Web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21"/>
    <w:rsid w:val="004B227B"/>
    <w:rsid w:val="00624195"/>
    <w:rsid w:val="007430B6"/>
    <w:rsid w:val="00925E21"/>
    <w:rsid w:val="009A5767"/>
    <w:rsid w:val="009C28D7"/>
    <w:rsid w:val="009E0F6B"/>
    <w:rsid w:val="00A955B6"/>
    <w:rsid w:val="00B6000C"/>
    <w:rsid w:val="00D4060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4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E21"/>
    <w:rPr>
      <w:sz w:val="18"/>
      <w:szCs w:val="18"/>
    </w:rPr>
  </w:style>
  <w:style w:type="paragraph" w:styleId="CommentText">
    <w:name w:val="annotation text"/>
    <w:basedOn w:val="Normal"/>
    <w:link w:val="CommentTextChar"/>
    <w:uiPriority w:val="99"/>
    <w:semiHidden/>
    <w:unhideWhenUsed/>
    <w:rsid w:val="00925E21"/>
  </w:style>
  <w:style w:type="character" w:customStyle="1" w:styleId="CommentTextChar">
    <w:name w:val="Comment Text Char"/>
    <w:basedOn w:val="DefaultParagraphFont"/>
    <w:link w:val="CommentText"/>
    <w:uiPriority w:val="99"/>
    <w:semiHidden/>
    <w:rsid w:val="00925E21"/>
  </w:style>
  <w:style w:type="paragraph" w:styleId="CommentSubject">
    <w:name w:val="annotation subject"/>
    <w:basedOn w:val="CommentText"/>
    <w:next w:val="CommentText"/>
    <w:link w:val="CommentSubjectChar"/>
    <w:uiPriority w:val="99"/>
    <w:semiHidden/>
    <w:unhideWhenUsed/>
    <w:rsid w:val="00925E21"/>
    <w:rPr>
      <w:b/>
      <w:bCs/>
      <w:sz w:val="20"/>
      <w:szCs w:val="20"/>
    </w:rPr>
  </w:style>
  <w:style w:type="character" w:customStyle="1" w:styleId="CommentSubjectChar">
    <w:name w:val="Comment Subject Char"/>
    <w:basedOn w:val="CommentTextChar"/>
    <w:link w:val="CommentSubject"/>
    <w:uiPriority w:val="99"/>
    <w:semiHidden/>
    <w:rsid w:val="00925E21"/>
    <w:rPr>
      <w:b/>
      <w:bCs/>
      <w:sz w:val="20"/>
      <w:szCs w:val="20"/>
    </w:rPr>
  </w:style>
  <w:style w:type="paragraph" w:styleId="BalloonText">
    <w:name w:val="Balloon Text"/>
    <w:basedOn w:val="Normal"/>
    <w:link w:val="BalloonTextChar"/>
    <w:uiPriority w:val="99"/>
    <w:semiHidden/>
    <w:unhideWhenUsed/>
    <w:rsid w:val="00925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925E21"/>
    <w:rPr>
      <w:rFonts w:ascii="Lucida Grande" w:hAnsi="Lucida Grande"/>
      <w:sz w:val="18"/>
      <w:szCs w:val="18"/>
    </w:rPr>
  </w:style>
  <w:style w:type="paragraph" w:styleId="ListParagraph">
    <w:name w:val="List Paragraph"/>
    <w:basedOn w:val="Normal"/>
    <w:uiPriority w:val="34"/>
    <w:qFormat/>
    <w:rsid w:val="004B22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25E21"/>
    <w:rPr>
      <w:sz w:val="18"/>
      <w:szCs w:val="18"/>
    </w:rPr>
  </w:style>
  <w:style w:type="paragraph" w:styleId="CommentText">
    <w:name w:val="annotation text"/>
    <w:basedOn w:val="Normal"/>
    <w:link w:val="CommentTextChar"/>
    <w:uiPriority w:val="99"/>
    <w:semiHidden/>
    <w:unhideWhenUsed/>
    <w:rsid w:val="00925E21"/>
  </w:style>
  <w:style w:type="character" w:customStyle="1" w:styleId="CommentTextChar">
    <w:name w:val="Comment Text Char"/>
    <w:basedOn w:val="DefaultParagraphFont"/>
    <w:link w:val="CommentText"/>
    <w:uiPriority w:val="99"/>
    <w:semiHidden/>
    <w:rsid w:val="00925E21"/>
  </w:style>
  <w:style w:type="paragraph" w:styleId="CommentSubject">
    <w:name w:val="annotation subject"/>
    <w:basedOn w:val="CommentText"/>
    <w:next w:val="CommentText"/>
    <w:link w:val="CommentSubjectChar"/>
    <w:uiPriority w:val="99"/>
    <w:semiHidden/>
    <w:unhideWhenUsed/>
    <w:rsid w:val="00925E21"/>
    <w:rPr>
      <w:b/>
      <w:bCs/>
      <w:sz w:val="20"/>
      <w:szCs w:val="20"/>
    </w:rPr>
  </w:style>
  <w:style w:type="character" w:customStyle="1" w:styleId="CommentSubjectChar">
    <w:name w:val="Comment Subject Char"/>
    <w:basedOn w:val="CommentTextChar"/>
    <w:link w:val="CommentSubject"/>
    <w:uiPriority w:val="99"/>
    <w:semiHidden/>
    <w:rsid w:val="00925E21"/>
    <w:rPr>
      <w:b/>
      <w:bCs/>
      <w:sz w:val="20"/>
      <w:szCs w:val="20"/>
    </w:rPr>
  </w:style>
  <w:style w:type="paragraph" w:styleId="BalloonText">
    <w:name w:val="Balloon Text"/>
    <w:basedOn w:val="Normal"/>
    <w:link w:val="BalloonTextChar"/>
    <w:uiPriority w:val="99"/>
    <w:semiHidden/>
    <w:unhideWhenUsed/>
    <w:rsid w:val="00925E21"/>
    <w:rPr>
      <w:rFonts w:ascii="Lucida Grande" w:hAnsi="Lucida Grande"/>
      <w:sz w:val="18"/>
      <w:szCs w:val="18"/>
    </w:rPr>
  </w:style>
  <w:style w:type="character" w:customStyle="1" w:styleId="BalloonTextChar">
    <w:name w:val="Balloon Text Char"/>
    <w:basedOn w:val="DefaultParagraphFont"/>
    <w:link w:val="BalloonText"/>
    <w:uiPriority w:val="99"/>
    <w:semiHidden/>
    <w:rsid w:val="00925E21"/>
    <w:rPr>
      <w:rFonts w:ascii="Lucida Grande" w:hAnsi="Lucida Grande"/>
      <w:sz w:val="18"/>
      <w:szCs w:val="18"/>
    </w:rPr>
  </w:style>
  <w:style w:type="paragraph" w:styleId="ListParagraph">
    <w:name w:val="List Paragraph"/>
    <w:basedOn w:val="Normal"/>
    <w:uiPriority w:val="34"/>
    <w:qFormat/>
    <w:rsid w:val="004B2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1720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Wake County Schools</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CAGGIA</dc:creator>
  <cp:keywords/>
  <cp:lastModifiedBy>MATTHEW CAGGIA</cp:lastModifiedBy>
  <cp:revision>2</cp:revision>
  <dcterms:created xsi:type="dcterms:W3CDTF">2014-11-07T02:04:00Z</dcterms:created>
  <dcterms:modified xsi:type="dcterms:W3CDTF">2014-11-07T02:04:00Z</dcterms:modified>
</cp:coreProperties>
</file>